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Department of Obstetrics and Gynecology 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Guidelines for Resident Travel and Professional Development</w:t>
      </w:r>
    </w:p>
    <w:p>
      <w:pPr>
        <w:pStyle w:val="Body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Body Tex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The Department of Obstetrics and Gynecology will provide conference and scholarship support to residents as indicated below.  For each academic year, a portion of the department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budget will be set-aside for this purpose; however, the amounts listed below could vary from year to year.</w:t>
      </w:r>
    </w:p>
    <w:p>
      <w:pPr>
        <w:pStyle w:val="Body"/>
        <w:widowControl w:val="0"/>
        <w:rPr>
          <w:rFonts w:ascii="Arial" w:cs="Arial" w:hAnsi="Arial" w:eastAsia="Arial"/>
          <w:sz w:val="16"/>
          <w:szCs w:val="16"/>
        </w:rPr>
      </w:pPr>
    </w:p>
    <w:tbl>
      <w:tblPr>
        <w:tblW w:w="108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83"/>
        <w:gridCol w:w="5127"/>
        <w:gridCol w:w="2290"/>
      </w:tblGrid>
      <w:tr>
        <w:tblPrEx>
          <w:shd w:val="clear" w:color="auto" w:fill="auto"/>
        </w:tblPrEx>
        <w:trPr>
          <w:trHeight w:val="230" w:hRule="atLeast"/>
        </w:trPr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0c0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n-US"/>
              </w:rPr>
              <w:t>Meeting</w:t>
            </w:r>
          </w:p>
        </w:tc>
        <w:tc>
          <w:tcPr>
            <w:tcW w:type="dxa" w:w="5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0c0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n-US"/>
              </w:rPr>
              <w:t>Requirements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c0c0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n-US"/>
              </w:rPr>
              <w:t>Maximum Support</w:t>
            </w:r>
          </w:p>
        </w:tc>
      </w:tr>
      <w:tr>
        <w:tblPrEx>
          <w:shd w:val="clear" w:color="auto" w:fill="auto"/>
        </w:tblPrEx>
        <w:trPr>
          <w:trHeight w:val="670" w:hRule="atLeast"/>
        </w:trPr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Scientific Presentation</w:t>
            </w:r>
          </w:p>
        </w:tc>
        <w:tc>
          <w:tcPr>
            <w:tcW w:type="dxa" w:w="5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3"/>
              </w:numPr>
              <w:tabs>
                <w:tab w:val="num" w:pos="264"/>
                <w:tab w:val="clear" w:pos="228"/>
              </w:tabs>
              <w:ind w:left="264" w:hanging="216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One meeting/paper</w:t>
            </w:r>
          </w:p>
          <w:p>
            <w:pPr>
              <w:pStyle w:val="Body"/>
              <w:numPr>
                <w:ilvl w:val="0"/>
                <w:numId w:val="4"/>
              </w:numPr>
              <w:tabs>
                <w:tab w:val="num" w:pos="264"/>
                <w:tab w:val="clear" w:pos="228"/>
              </w:tabs>
              <w:bidi w:val="0"/>
              <w:ind w:left="264" w:right="0" w:hanging="216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Prior approval from Program Director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before abstract is submitted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$1500/resident</w:t>
            </w:r>
          </w:p>
        </w:tc>
      </w:tr>
      <w:tr>
        <w:tblPrEx>
          <w:shd w:val="clear" w:color="auto" w:fill="auto"/>
        </w:tblPrEx>
        <w:trPr>
          <w:trHeight w:val="1459" w:hRule="atLeast"/>
        </w:trPr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General conference/meeting funding</w:t>
            </w:r>
          </w:p>
          <w:p>
            <w:pPr>
              <w:pStyle w:val="Body"/>
              <w:numPr>
                <w:ilvl w:val="0"/>
                <w:numId w:val="7"/>
              </w:numPr>
              <w:tabs>
                <w:tab w:val="num" w:pos="518"/>
                <w:tab w:val="clear" w:pos="432"/>
              </w:tabs>
              <w:bidi w:val="0"/>
              <w:ind w:left="518" w:right="0" w:hanging="518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Academically sound meetings/conferences/</w:t>
            </w:r>
          </w:p>
          <w:p>
            <w:pPr>
              <w:pStyle w:val="Body"/>
              <w:ind w:left="432" w:hanging="432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ab/>
              <w:t>courses as approved by Program Director</w:t>
            </w:r>
          </w:p>
        </w:tc>
        <w:tc>
          <w:tcPr>
            <w:tcW w:type="dxa" w:w="5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10"/>
              </w:numPr>
              <w:tabs>
                <w:tab w:val="num" w:pos="264"/>
                <w:tab w:val="clear" w:pos="228"/>
              </w:tabs>
              <w:ind w:left="264" w:hanging="216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Maximum one (1) meeting per resident for each academic year </w:t>
            </w:r>
          </w:p>
          <w:p>
            <w:pPr>
              <w:pStyle w:val="Body"/>
              <w:numPr>
                <w:ilvl w:val="0"/>
                <w:numId w:val="11"/>
              </w:numPr>
              <w:tabs>
                <w:tab w:val="num" w:pos="264"/>
                <w:tab w:val="clear" w:pos="228"/>
              </w:tabs>
              <w:bidi w:val="0"/>
              <w:ind w:left="264" w:right="0" w:hanging="216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Any remaining funds will carry over to the following year</w:t>
            </w:r>
          </w:p>
          <w:p>
            <w:pPr>
              <w:pStyle w:val="Body"/>
              <w:numPr>
                <w:ilvl w:val="0"/>
                <w:numId w:val="12"/>
              </w:numPr>
              <w:tabs>
                <w:tab w:val="num" w:pos="264"/>
                <w:tab w:val="clear" w:pos="228"/>
              </w:tabs>
              <w:bidi w:val="0"/>
              <w:ind w:left="264" w:right="0" w:hanging="216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Prior approval from Program Director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Maximum of $2000 for term of residency (years 1 through 5)</w:t>
            </w:r>
          </w:p>
        </w:tc>
      </w:tr>
      <w:tr>
        <w:tblPrEx>
          <w:shd w:val="clear" w:color="auto" w:fill="auto"/>
        </w:tblPrEx>
        <w:trPr>
          <w:trHeight w:val="2539" w:hRule="atLeast"/>
        </w:trPr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Other major meeting from the following list may be considered: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APOG or CREOG Annual Meeting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SOGC Annual Meeting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SOGC West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Western Perinatal Meeting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Science and Beyond Meeting</w:t>
            </w:r>
          </w:p>
          <w:p>
            <w:pPr>
              <w:pStyle w:val="Body"/>
              <w:numPr>
                <w:ilvl w:val="0"/>
                <w:numId w:val="15"/>
              </w:numPr>
              <w:tabs>
                <w:tab w:val="num" w:pos="432"/>
                <w:tab w:val="clear" w:pos="360"/>
              </w:tabs>
              <w:bidi w:val="0"/>
              <w:ind w:left="432" w:right="0" w:hanging="432"/>
              <w:jc w:val="left"/>
              <w:rPr>
                <w:rFonts w:ascii="Trebuchet MS" w:cs="Trebuchet MS" w:hAnsi="Trebuchet MS" w:eastAsia="Trebuchet MS"/>
                <w:position w:val="0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Other meetings as approved by Program Director</w:t>
            </w:r>
          </w:p>
        </w:tc>
        <w:tc>
          <w:tcPr>
            <w:tcW w:type="dxa" w:w="5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1"/>
                <w:numId w:val="18"/>
              </w:numPr>
              <w:tabs>
                <w:tab w:val="num" w:pos="264"/>
                <w:tab w:val="clear" w:pos="228"/>
              </w:tabs>
              <w:ind w:left="264" w:hanging="216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Maximum two (2) residents per meeting for each academic year</w:t>
            </w:r>
          </w:p>
          <w:p>
            <w:pPr>
              <w:pStyle w:val="Body"/>
              <w:numPr>
                <w:ilvl w:val="1"/>
                <w:numId w:val="19"/>
              </w:numPr>
              <w:tabs>
                <w:tab w:val="num" w:pos="264"/>
                <w:tab w:val="clear" w:pos="228"/>
              </w:tabs>
              <w:bidi w:val="0"/>
              <w:ind w:left="264" w:right="0" w:hanging="216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Prior approval from Program Director 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$500/resident for meetings within Alberta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$1000/resident for meetings outside Alberta</w:t>
            </w:r>
          </w:p>
        </w:tc>
      </w:tr>
      <w:tr>
        <w:tblPrEx>
          <w:shd w:val="clear" w:color="auto" w:fill="auto"/>
        </w:tblPrEx>
        <w:trPr>
          <w:trHeight w:val="1110" w:hRule="atLeast"/>
        </w:trPr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Leadership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Award</w:t>
            </w:r>
          </w:p>
          <w:p>
            <w:pPr>
              <w:pStyle w:val="Body"/>
              <w:numPr>
                <w:ilvl w:val="0"/>
                <w:numId w:val="22"/>
              </w:numPr>
              <w:tabs>
                <w:tab w:val="num" w:pos="792"/>
                <w:tab w:val="clear" w:pos="720"/>
              </w:tabs>
              <w:bidi w:val="0"/>
              <w:ind w:left="792" w:right="0" w:hanging="432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CREOG</w:t>
            </w:r>
          </w:p>
          <w:p>
            <w:pPr>
              <w:pStyle w:val="Body"/>
              <w:numPr>
                <w:ilvl w:val="0"/>
                <w:numId w:val="23"/>
              </w:numPr>
              <w:tabs>
                <w:tab w:val="num" w:pos="792"/>
                <w:tab w:val="clear" w:pos="720"/>
              </w:tabs>
              <w:bidi w:val="0"/>
              <w:ind w:left="792" w:right="0" w:hanging="432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AAGL (endoscopy)</w:t>
            </w:r>
          </w:p>
        </w:tc>
        <w:tc>
          <w:tcPr>
            <w:tcW w:type="dxa" w:w="5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1"/>
                <w:numId w:val="26"/>
              </w:numPr>
              <w:tabs>
                <w:tab w:val="num" w:pos="264"/>
                <w:tab w:val="clear" w:pos="228"/>
              </w:tabs>
              <w:ind w:left="264" w:hanging="216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Maximum two (2) residents per annum per award</w:t>
            </w:r>
          </w:p>
          <w:p>
            <w:pPr>
              <w:pStyle w:val="Body"/>
              <w:numPr>
                <w:ilvl w:val="1"/>
                <w:numId w:val="27"/>
              </w:numPr>
              <w:tabs>
                <w:tab w:val="num" w:pos="264"/>
                <w:tab w:val="clear" w:pos="228"/>
              </w:tabs>
              <w:bidi w:val="0"/>
              <w:ind w:left="264" w:right="0" w:hanging="216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Prior approval from Program Director for names submitted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$1500 maximum</w:t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CREOG $2500</w:t>
            </w:r>
          </w:p>
        </w:tc>
      </w:tr>
    </w:tbl>
    <w:p>
      <w:pPr>
        <w:pStyle w:val="Body"/>
        <w:widowControl w:val="0"/>
        <w:rPr>
          <w:rFonts w:ascii="Arial" w:cs="Arial" w:hAnsi="Arial" w:eastAsia="Arial"/>
          <w:sz w:val="16"/>
          <w:szCs w:val="16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nl-NL"/>
        </w:rPr>
        <w:t>General Guidelines:</w:t>
      </w:r>
    </w:p>
    <w:p>
      <w:pPr>
        <w:pStyle w:val="Body"/>
        <w:numPr>
          <w:ilvl w:val="0"/>
          <w:numId w:val="30"/>
        </w:numPr>
        <w:tabs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The 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>“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Conference </w:t>
      </w:r>
      <w:r>
        <w:rPr>
          <w:rFonts w:ascii="Calibri" w:cs="Calibri" w:hAnsi="Calibri" w:eastAsia="Calibri"/>
          <w:b w:val="1"/>
          <w:bCs w:val="1"/>
          <w:i w:val="1"/>
          <w:iCs w:val="1"/>
          <w:sz w:val="19"/>
          <w:szCs w:val="19"/>
          <w:rtl w:val="0"/>
        </w:rPr>
        <w:t>Leave</w:t>
      </w:r>
      <w:r>
        <w:rPr>
          <w:rFonts w:ascii="Calibri" w:cs="Calibri" w:hAnsi="Calibri" w:eastAsia="Calibri"/>
          <w:b w:val="1"/>
          <w:bCs w:val="1"/>
          <w:sz w:val="19"/>
          <w:szCs w:val="19"/>
          <w:rtl w:val="0"/>
        </w:rPr>
        <w:t xml:space="preserve"> </w:t>
      </w:r>
      <w:r>
        <w:rPr>
          <w:rFonts w:ascii="Calibri" w:cs="Calibri" w:hAnsi="Calibri" w:eastAsia="Calibri"/>
          <w:sz w:val="19"/>
          <w:szCs w:val="19"/>
          <w:rtl w:val="0"/>
          <w:lang w:val="fr-FR"/>
        </w:rPr>
        <w:t>Request Form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must be signed off by the Chief Resident, and </w:t>
      </w:r>
      <w:r>
        <w:rPr>
          <w:rFonts w:ascii="Calibri" w:cs="Calibri" w:hAnsi="Calibri" w:eastAsia="Calibri"/>
          <w:sz w:val="19"/>
          <w:szCs w:val="19"/>
          <w:u w:val="single"/>
          <w:rtl w:val="0"/>
          <w:lang w:val="en-US"/>
        </w:rPr>
        <w:t>submitted together with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 the 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>“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Resident Travel and PD </w:t>
      </w:r>
      <w:r>
        <w:rPr>
          <w:rFonts w:ascii="Calibri" w:cs="Calibri" w:hAnsi="Calibri" w:eastAsia="Calibri"/>
          <w:b w:val="1"/>
          <w:bCs w:val="1"/>
          <w:i w:val="1"/>
          <w:iCs w:val="1"/>
          <w:sz w:val="19"/>
          <w:szCs w:val="19"/>
          <w:rtl w:val="0"/>
        </w:rPr>
        <w:t>Fund</w:t>
      </w:r>
      <w:r>
        <w:rPr>
          <w:rFonts w:ascii="Calibri" w:cs="Calibri" w:hAnsi="Calibri" w:eastAsia="Calibri"/>
          <w:b w:val="1"/>
          <w:bCs w:val="1"/>
          <w:sz w:val="19"/>
          <w:szCs w:val="19"/>
          <w:rtl w:val="0"/>
        </w:rPr>
        <w:t xml:space="preserve"> </w:t>
      </w:r>
      <w:r>
        <w:rPr>
          <w:rFonts w:ascii="Calibri" w:cs="Calibri" w:hAnsi="Calibri" w:eastAsia="Calibri"/>
          <w:sz w:val="19"/>
          <w:szCs w:val="19"/>
          <w:rtl w:val="0"/>
          <w:lang w:val="fr-FR"/>
        </w:rPr>
        <w:t>Request Form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to the Program Director for preliminary approval. </w:t>
      </w:r>
    </w:p>
    <w:p>
      <w:pPr>
        <w:pStyle w:val="Body"/>
        <w:numPr>
          <w:ilvl w:val="2"/>
          <w:numId w:val="32"/>
        </w:numPr>
        <w:tabs>
          <w:tab w:val="num" w:pos="2096"/>
          <w:tab w:val="clear" w:pos="1980"/>
        </w:tabs>
        <w:bidi w:val="0"/>
        <w:ind w:left="2096" w:right="0" w:hanging="556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b w:val="1"/>
          <w:bCs w:val="1"/>
          <w:color w:val="ff0000"/>
          <w:sz w:val="19"/>
          <w:szCs w:val="19"/>
          <w:u w:color="ff0000"/>
          <w:rtl w:val="0"/>
        </w:rPr>
        <w:t>NOTE:</w:t>
      </w:r>
      <w:r>
        <w:rPr>
          <w:rFonts w:ascii="Calibri" w:cs="Calibri" w:hAnsi="Calibri" w:eastAsia="Calibri" w:hint="default"/>
          <w:b w:val="1"/>
          <w:bCs w:val="1"/>
          <w:color w:val="ff0000"/>
          <w:sz w:val="19"/>
          <w:szCs w:val="19"/>
          <w:u w:color="ff0000"/>
          <w:rtl w:val="0"/>
          <w:lang w:val="en-US"/>
        </w:rPr>
        <w:t xml:space="preserve">  </w:t>
      </w:r>
      <w:r>
        <w:rPr>
          <w:rFonts w:ascii="Calibri" w:cs="Calibri" w:hAnsi="Calibri" w:eastAsia="Calibri"/>
          <w:b w:val="1"/>
          <w:bCs w:val="1"/>
          <w:color w:val="ff0000"/>
          <w:sz w:val="19"/>
          <w:szCs w:val="19"/>
          <w:u w:color="ff0000"/>
          <w:rtl w:val="0"/>
          <w:lang w:val="en-US"/>
        </w:rPr>
        <w:t xml:space="preserve">This must be done a minimum of 6 weeks </w:t>
      </w:r>
      <w:r>
        <w:rPr>
          <w:rFonts w:ascii="Calibri" w:cs="Calibri" w:hAnsi="Calibri" w:eastAsia="Calibri"/>
          <w:b w:val="1"/>
          <w:bCs w:val="1"/>
          <w:color w:val="ff0000"/>
          <w:sz w:val="19"/>
          <w:szCs w:val="19"/>
          <w:u w:val="single" w:color="ff0000"/>
          <w:rtl w:val="0"/>
          <w:lang w:val="es-ES_tradnl"/>
        </w:rPr>
        <w:t xml:space="preserve">prior </w:t>
      </w:r>
      <w:r>
        <w:rPr>
          <w:rFonts w:ascii="Calibri" w:cs="Calibri" w:hAnsi="Calibri" w:eastAsia="Calibri"/>
          <w:b w:val="1"/>
          <w:bCs w:val="1"/>
          <w:color w:val="ff0000"/>
          <w:sz w:val="19"/>
          <w:szCs w:val="19"/>
          <w:u w:color="ff0000"/>
          <w:rtl w:val="0"/>
          <w:lang w:val="en-US"/>
        </w:rPr>
        <w:t>to travel, and prior to submitting an abstract.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  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>If approved by the Program Director, the forms will be submitted to the APO for final financial authorizations and approvals.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  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If there are any issues arising from the application, you will be contacted directly.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>If the application meets financial approvals/authorizations, a copy of your application will be returned to you in your mailbox at our office in 5S131 Lois Hole Hospital.</w:t>
      </w:r>
    </w:p>
    <w:p>
      <w:pPr>
        <w:pStyle w:val="Body"/>
        <w:numPr>
          <w:ilvl w:val="2"/>
          <w:numId w:val="33"/>
        </w:numPr>
        <w:tabs>
          <w:tab w:val="num" w:pos="2096"/>
          <w:tab w:val="clear" w:pos="1980"/>
        </w:tabs>
        <w:bidi w:val="0"/>
        <w:ind w:left="2096" w:right="0" w:hanging="556"/>
        <w:jc w:val="left"/>
        <w:rPr>
          <w:rFonts w:ascii="Trebuchet MS" w:cs="Trebuchet MS" w:hAnsi="Trebuchet MS" w:eastAsia="Trebuchet MS"/>
          <w:color w:val="0000cc"/>
          <w:position w:val="0"/>
          <w:sz w:val="19"/>
          <w:szCs w:val="19"/>
          <w:u w:color="0000cc"/>
          <w:rtl w:val="0"/>
        </w:rPr>
      </w:pPr>
      <w:r>
        <w:rPr>
          <w:rFonts w:ascii="Calibri" w:cs="Calibri" w:hAnsi="Calibri" w:eastAsia="Calibri"/>
          <w:color w:val="0000cc"/>
          <w:sz w:val="19"/>
          <w:szCs w:val="19"/>
          <w:u w:color="0000cc"/>
          <w:rtl w:val="0"/>
          <w:lang w:val="en-US"/>
        </w:rPr>
        <w:t>At the bottom will be a account combination code that you will be required to have for submitting your claim after travel has been completed.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>Travel Claims are now made online via the new financial system (</w:t>
      </w:r>
      <w:hyperlink r:id="rId4" w:history="1">
        <w:r>
          <w:rPr>
            <w:rStyle w:val="Hyperlink.0"/>
            <w:rFonts w:ascii="Calibri" w:cs="Calibri" w:hAnsi="Calibri" w:eastAsia="Calibri"/>
            <w:b w:val="1"/>
            <w:bCs w:val="1"/>
            <w:i w:val="1"/>
            <w:iCs w:val="1"/>
            <w:color w:val="1155cc"/>
            <w:sz w:val="19"/>
            <w:szCs w:val="19"/>
            <w:u w:color="1155cc"/>
            <w:rtl w:val="0"/>
            <w:lang w:val="en-US"/>
          </w:rPr>
          <w:t>PeopleSoft Financials</w:t>
        </w:r>
      </w:hyperlink>
      <w:r>
        <w:rPr>
          <w:rFonts w:ascii="Calibri" w:cs="Calibri" w:hAnsi="Calibri" w:eastAsia="Calibri"/>
          <w:sz w:val="19"/>
          <w:szCs w:val="19"/>
          <w:rtl w:val="0"/>
          <w:lang w:val="en-US"/>
        </w:rPr>
        <w:t>); you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>’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ll need your CCID and password to access the system.  All paperwork must be received in our offices (5S131) before final online review can proceed.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b w:val="1"/>
          <w:bCs w:val="1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b w:val="0"/>
          <w:bCs w:val="0"/>
          <w:sz w:val="19"/>
          <w:szCs w:val="19"/>
          <w:rtl w:val="0"/>
          <w:lang w:val="en-US"/>
        </w:rPr>
        <w:t>We require ORIGINAL itemized travel receipts (airline ticket, conference registration, hotel and meal receipts).</w:t>
      </w:r>
      <w:r>
        <w:rPr>
          <w:rFonts w:ascii="Calibri" w:cs="Calibri" w:hAnsi="Calibri" w:eastAsia="Calibri" w:hint="default"/>
          <w:b w:val="0"/>
          <w:bCs w:val="0"/>
          <w:sz w:val="19"/>
          <w:szCs w:val="19"/>
          <w:rtl w:val="0"/>
          <w:lang w:val="en-US"/>
        </w:rPr>
        <w:t xml:space="preserve">  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b w:val="1"/>
          <w:bCs w:val="1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b w:val="0"/>
          <w:bCs w:val="0"/>
          <w:sz w:val="19"/>
          <w:szCs w:val="19"/>
          <w:rtl w:val="0"/>
          <w:lang w:val="en-US"/>
        </w:rPr>
        <w:t>All claims must abide by the university guidelines:</w:t>
      </w:r>
      <w:r>
        <w:rPr>
          <w:rFonts w:ascii="Calibri" w:cs="Calibri" w:hAnsi="Calibri" w:eastAsia="Calibri" w:hint="default"/>
          <w:b w:val="0"/>
          <w:bCs w:val="0"/>
          <w:sz w:val="19"/>
          <w:szCs w:val="19"/>
          <w:rtl w:val="0"/>
          <w:lang w:val="en-US"/>
        </w:rPr>
        <w:t xml:space="preserve">  </w:t>
      </w:r>
      <w:hyperlink r:id="rId5" w:history="1">
        <w:r>
          <w:rPr>
            <w:rStyle w:val="Hyperlink.1"/>
            <w:rFonts w:ascii="Calibri" w:cs="Calibri" w:hAnsi="Calibri" w:eastAsia="Calibri"/>
            <w:b w:val="0"/>
            <w:bCs w:val="0"/>
            <w:sz w:val="19"/>
            <w:szCs w:val="19"/>
            <w:rtl w:val="0"/>
            <w:lang w:val="en-US"/>
          </w:rPr>
          <w:t>https://policiesonline.ualberta.ca/PoliciesProcedures/Procedures/Travel-Expense-Procedure-Appendix-A-Schedule-of-Allowable-Expenses.pdf</w:t>
        </w:r>
      </w:hyperlink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b w:val="1"/>
          <w:bCs w:val="1"/>
          <w:sz w:val="19"/>
          <w:szCs w:val="19"/>
          <w:rtl w:val="0"/>
          <w:lang w:val="en-US"/>
        </w:rPr>
        <w:t>Funding will not be approved retroactively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 (i.e. for past academic years)</w:t>
      </w:r>
      <w:r>
        <w:rPr>
          <w:rFonts w:ascii="Calibri" w:cs="Calibri" w:hAnsi="Calibri" w:eastAsia="Calibri"/>
          <w:sz w:val="19"/>
          <w:szCs w:val="19"/>
          <w:u w:val="single"/>
          <w:rtl w:val="0"/>
          <w:lang w:val="en-US"/>
        </w:rPr>
        <w:t xml:space="preserve"> nor will funds be given in advance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 (i.e. allotment for future years).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>Travel funds cannot be used to pay for exam fees (i.e. Royal College) nor used for travel to sit these exams.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sz w:val="19"/>
          <w:szCs w:val="19"/>
          <w:rtl w:val="0"/>
        </w:rPr>
      </w:pPr>
      <w:r>
        <w:rPr>
          <w:rFonts w:ascii="Calibri" w:cs="Calibri" w:hAnsi="Calibri" w:eastAsia="Calibri"/>
          <w:b w:val="1"/>
          <w:bCs w:val="1"/>
          <w:sz w:val="19"/>
          <w:szCs w:val="19"/>
          <w:u w:val="single"/>
          <w:rtl w:val="0"/>
          <w:lang w:val="en-US"/>
        </w:rPr>
        <w:t>Department funding is limited</w:t>
      </w:r>
      <w:r>
        <w:rPr>
          <w:rFonts w:ascii="Calibri" w:cs="Calibri" w:hAnsi="Calibri" w:eastAsia="Calibri"/>
          <w:b w:val="1"/>
          <w:bCs w:val="1"/>
          <w:sz w:val="19"/>
          <w:szCs w:val="19"/>
          <w:rtl w:val="0"/>
        </w:rPr>
        <w:t>.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  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If presenting an abstract, a resident is encouraged to seek alternate funding sources from the Division connected with the resident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>’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s presentation (i.e. Fertility, Oncology, Perinatology, Urogynecology).</w:t>
      </w:r>
    </w:p>
    <w:p>
      <w:pPr>
        <w:pStyle w:val="Body"/>
        <w:numPr>
          <w:ilvl w:val="0"/>
          <w:numId w:val="30"/>
        </w:numPr>
        <w:tabs>
          <w:tab w:val="left" w:pos="720"/>
          <w:tab w:val="num" w:pos="1535"/>
          <w:tab w:val="clear" w:pos="1440"/>
        </w:tabs>
        <w:bidi w:val="0"/>
        <w:ind w:left="1535" w:right="0" w:hanging="455"/>
        <w:jc w:val="left"/>
        <w:rPr>
          <w:rFonts w:ascii="Trebuchet MS" w:cs="Trebuchet MS" w:hAnsi="Trebuchet MS" w:eastAsia="Trebuchet MS"/>
          <w:position w:val="0"/>
          <w:rtl w:val="0"/>
        </w:rPr>
      </w:pPr>
      <w:r>
        <w:rPr>
          <w:rFonts w:ascii="Calibri" w:cs="Calibri" w:hAnsi="Calibri" w:eastAsia="Calibri"/>
          <w:sz w:val="19"/>
          <w:szCs w:val="19"/>
          <w:rtl w:val="0"/>
          <w:lang w:val="en-US"/>
        </w:rPr>
        <w:t xml:space="preserve">All available funding documented in our current 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> “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Travel &amp; Professional Development Guidelines for Residents</w:t>
      </w:r>
      <w:r>
        <w:rPr>
          <w:rFonts w:ascii="Calibri" w:cs="Calibri" w:hAnsi="Calibri" w:eastAsia="Calibri" w:hint="default"/>
          <w:sz w:val="19"/>
          <w:szCs w:val="19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19"/>
          <w:szCs w:val="19"/>
          <w:rtl w:val="0"/>
          <w:lang w:val="en-US"/>
        </w:rPr>
        <w:t>is subject to an annual review and will be updated in late September pending assessment.</w:t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Arial"/>
        <w:i w:val="1"/>
        <w:iCs w:val="1"/>
        <w:sz w:val="16"/>
        <w:szCs w:val="16"/>
        <w:rtl w:val="0"/>
        <w:lang w:val="en-US"/>
      </w:rPr>
      <w:t>Updated: April 2013</w:t>
    </w:r>
    <w:r>
      <w:rPr>
        <w:rFonts w:ascii="Arial" w:cs="Arial" w:hAnsi="Arial" w:eastAsia="Arial"/>
        <w:i w:val="1"/>
        <w:iCs w:val="1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740"/>
          <w:tab w:val="clear" w:pos="0"/>
        </w:tabs>
        <w:ind w:left="17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460"/>
          <w:tab w:val="clear" w:pos="0"/>
        </w:tabs>
        <w:ind w:left="24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180"/>
          <w:tab w:val="clear" w:pos="0"/>
        </w:tabs>
        <w:ind w:left="31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900"/>
          <w:tab w:val="clear" w:pos="0"/>
        </w:tabs>
        <w:ind w:left="39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620"/>
          <w:tab w:val="clear" w:pos="0"/>
        </w:tabs>
        <w:ind w:left="46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340"/>
          <w:tab w:val="clear" w:pos="0"/>
        </w:tabs>
        <w:ind w:left="53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060"/>
          <w:tab w:val="clear" w:pos="0"/>
        </w:tabs>
        <w:ind w:left="60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780"/>
          <w:tab w:val="clear" w:pos="0"/>
        </w:tabs>
        <w:ind w:left="67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740"/>
          <w:tab w:val="clear" w:pos="0"/>
        </w:tabs>
        <w:ind w:left="17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460"/>
          <w:tab w:val="clear" w:pos="0"/>
        </w:tabs>
        <w:ind w:left="24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180"/>
          <w:tab w:val="clear" w:pos="0"/>
        </w:tabs>
        <w:ind w:left="31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900"/>
          <w:tab w:val="clear" w:pos="0"/>
        </w:tabs>
        <w:ind w:left="39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620"/>
          <w:tab w:val="clear" w:pos="0"/>
        </w:tabs>
        <w:ind w:left="46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340"/>
          <w:tab w:val="clear" w:pos="0"/>
        </w:tabs>
        <w:ind w:left="53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060"/>
          <w:tab w:val="clear" w:pos="0"/>
        </w:tabs>
        <w:ind w:left="60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780"/>
          <w:tab w:val="clear" w:pos="0"/>
        </w:tabs>
        <w:ind w:left="67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28"/>
          <w:tab w:val="clear" w:pos="0"/>
        </w:tabs>
        <w:ind w:left="14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48"/>
          <w:tab w:val="clear" w:pos="0"/>
        </w:tabs>
        <w:ind w:left="21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68"/>
          <w:tab w:val="clear" w:pos="0"/>
        </w:tabs>
        <w:ind w:left="28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88"/>
          <w:tab w:val="clear" w:pos="0"/>
        </w:tabs>
        <w:ind w:left="358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08"/>
          <w:tab w:val="clear" w:pos="0"/>
        </w:tabs>
        <w:ind w:left="430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28"/>
          <w:tab w:val="clear" w:pos="0"/>
        </w:tabs>
        <w:ind w:left="502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48"/>
          <w:tab w:val="clear" w:pos="0"/>
        </w:tabs>
        <w:ind w:left="574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68"/>
          <w:tab w:val="clear" w:pos="0"/>
        </w:tabs>
        <w:ind w:left="6468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1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5">
    <w:multiLevelType w:val="multilevel"/>
    <w:styleLink w:val="List 6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>
    <w:multiLevelType w:val="multilevel"/>
    <w:styleLink w:val="List 6"/>
    <w:lvl w:ilvl="0">
      <w:start w:val="1"/>
      <w:numFmt w:val="decimal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228"/>
          <w:tab w:val="clear" w:pos="0"/>
        </w:tabs>
        <w:ind w:left="228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position w:val="0"/>
        <w:sz w:val="19"/>
        <w:szCs w:val="19"/>
      </w:rPr>
    </w:lvl>
    <w:lvl w:ilvl="1">
      <w:start w:val="1"/>
      <w:numFmt w:val="lowerLetter"/>
      <w:suff w:val="tab"/>
      <w:lvlText w:val="%2."/>
      <w:lvlJc w:val="left"/>
      <w:pPr>
        <w:tabs>
          <w:tab w:val="num" w:pos="1365"/>
          <w:tab w:val="clear" w:pos="0"/>
        </w:tabs>
        <w:ind w:left="1365" w:hanging="285"/>
      </w:pPr>
      <w:rPr>
        <w:rFonts w:ascii="Calibri" w:cs="Calibri" w:hAnsi="Calibri" w:eastAsia="Calibri"/>
        <w:position w:val="0"/>
        <w:sz w:val="19"/>
        <w:szCs w:val="19"/>
      </w:rPr>
    </w:lvl>
    <w:lvl w:ilvl="2">
      <w:start w:val="1"/>
      <w:numFmt w:val="lowerRoman"/>
      <w:suff w:val="tab"/>
      <w:lvlText w:val="%3."/>
      <w:lvlJc w:val="left"/>
      <w:pPr>
        <w:tabs>
          <w:tab w:val="num" w:pos="2098"/>
          <w:tab w:val="clear" w:pos="0"/>
        </w:tabs>
        <w:ind w:left="2098" w:hanging="234"/>
      </w:pPr>
      <w:rPr>
        <w:rFonts w:ascii="Calibri" w:cs="Calibri" w:hAnsi="Calibri" w:eastAsia="Calibri"/>
        <w:position w:val="0"/>
        <w:sz w:val="19"/>
        <w:szCs w:val="19"/>
      </w:rPr>
    </w:lvl>
    <w:lvl w:ilvl="3">
      <w:start w:val="1"/>
      <w:numFmt w:val="decimal"/>
      <w:suff w:val="tab"/>
      <w:lvlText w:val="%4."/>
      <w:lvlJc w:val="left"/>
      <w:pPr>
        <w:tabs>
          <w:tab w:val="num" w:pos="2805"/>
          <w:tab w:val="clear" w:pos="0"/>
        </w:tabs>
        <w:ind w:left="2805" w:hanging="285"/>
      </w:pPr>
      <w:rPr>
        <w:rFonts w:ascii="Calibri" w:cs="Calibri" w:hAnsi="Calibri" w:eastAsia="Calibri"/>
        <w:position w:val="0"/>
        <w:sz w:val="19"/>
        <w:szCs w:val="19"/>
      </w:rPr>
    </w:lvl>
    <w:lvl w:ilvl="4">
      <w:start w:val="1"/>
      <w:numFmt w:val="lowerLetter"/>
      <w:suff w:val="tab"/>
      <w:lvlText w:val="%5."/>
      <w:lvlJc w:val="left"/>
      <w:pPr>
        <w:tabs>
          <w:tab w:val="num" w:pos="3525"/>
          <w:tab w:val="clear" w:pos="0"/>
        </w:tabs>
        <w:ind w:left="3525" w:hanging="285"/>
      </w:pPr>
      <w:rPr>
        <w:rFonts w:ascii="Calibri" w:cs="Calibri" w:hAnsi="Calibri" w:eastAsia="Calibri"/>
        <w:position w:val="0"/>
        <w:sz w:val="19"/>
        <w:szCs w:val="19"/>
      </w:rPr>
    </w:lvl>
    <w:lvl w:ilvl="5">
      <w:start w:val="1"/>
      <w:numFmt w:val="lowerRoman"/>
      <w:suff w:val="tab"/>
      <w:lvlText w:val="%6."/>
      <w:lvlJc w:val="left"/>
      <w:pPr>
        <w:tabs>
          <w:tab w:val="num" w:pos="4258"/>
          <w:tab w:val="clear" w:pos="0"/>
        </w:tabs>
        <w:ind w:left="4258" w:hanging="234"/>
      </w:pPr>
      <w:rPr>
        <w:rFonts w:ascii="Calibri" w:cs="Calibri" w:hAnsi="Calibri" w:eastAsia="Calibri"/>
        <w:position w:val="0"/>
        <w:sz w:val="19"/>
        <w:szCs w:val="19"/>
      </w:rPr>
    </w:lvl>
    <w:lvl w:ilvl="6">
      <w:start w:val="1"/>
      <w:numFmt w:val="decimal"/>
      <w:suff w:val="tab"/>
      <w:lvlText w:val="%7."/>
      <w:lvlJc w:val="left"/>
      <w:pPr>
        <w:tabs>
          <w:tab w:val="num" w:pos="4965"/>
          <w:tab w:val="clear" w:pos="0"/>
        </w:tabs>
        <w:ind w:left="4965" w:hanging="285"/>
      </w:pPr>
      <w:rPr>
        <w:rFonts w:ascii="Calibri" w:cs="Calibri" w:hAnsi="Calibri" w:eastAsia="Calibri"/>
        <w:position w:val="0"/>
        <w:sz w:val="19"/>
        <w:szCs w:val="19"/>
      </w:rPr>
    </w:lvl>
    <w:lvl w:ilvl="7">
      <w:start w:val="1"/>
      <w:numFmt w:val="lowerLetter"/>
      <w:suff w:val="tab"/>
      <w:lvlText w:val="%8."/>
      <w:lvlJc w:val="left"/>
      <w:pPr>
        <w:tabs>
          <w:tab w:val="num" w:pos="5685"/>
          <w:tab w:val="clear" w:pos="0"/>
        </w:tabs>
        <w:ind w:left="5685" w:hanging="285"/>
      </w:pPr>
      <w:rPr>
        <w:rFonts w:ascii="Calibri" w:cs="Calibri" w:hAnsi="Calibri" w:eastAsia="Calibri"/>
        <w:position w:val="0"/>
        <w:sz w:val="19"/>
        <w:szCs w:val="19"/>
      </w:rPr>
    </w:lvl>
    <w:lvl w:ilvl="8">
      <w:start w:val="1"/>
      <w:numFmt w:val="lowerRoman"/>
      <w:suff w:val="tab"/>
      <w:lvlText w:val="%9."/>
      <w:lvlJc w:val="left"/>
      <w:pPr>
        <w:tabs>
          <w:tab w:val="num" w:pos="6418"/>
          <w:tab w:val="clear" w:pos="0"/>
        </w:tabs>
        <w:ind w:left="6418" w:hanging="234"/>
      </w:pPr>
      <w:rPr>
        <w:rFonts w:ascii="Calibri" w:cs="Calibri" w:hAnsi="Calibri" w:eastAsia="Calibri"/>
        <w:position w:val="0"/>
        <w:sz w:val="19"/>
        <w:szCs w:val="19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9">
    <w:multiLevelType w:val="multilevel"/>
    <w:styleLink w:val="List 7"/>
    <w:lvl w:ilvl="0">
      <w:start w:val="1"/>
      <w:numFmt w:val="decimal"/>
      <w:suff w:val="tab"/>
      <w:lvlText w:val="%1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19"/>
        <w:szCs w:val="19"/>
      </w:rPr>
    </w:lvl>
    <w:lvl w:ilvl="1">
      <w:start w:val="1"/>
      <w:numFmt w:val="lowerLetter"/>
      <w:suff w:val="tab"/>
      <w:lvlText w:val="%2."/>
      <w:lvlJc w:val="left"/>
      <w:pPr>
        <w:tabs>
          <w:tab w:val="num" w:pos="1365"/>
          <w:tab w:val="clear" w:pos="0"/>
        </w:tabs>
        <w:ind w:left="1365" w:hanging="285"/>
      </w:pPr>
      <w:rPr>
        <w:rFonts w:ascii="Calibri" w:cs="Calibri" w:hAnsi="Calibri" w:eastAsia="Calibri"/>
        <w:position w:val="0"/>
        <w:sz w:val="19"/>
        <w:szCs w:val="19"/>
      </w:rPr>
    </w:lvl>
    <w:lvl w:ilvl="2">
      <w:start w:val="1"/>
      <w:numFmt w:val="lowerRoman"/>
      <w:suff w:val="tab"/>
      <w:lvlText w:val="%3."/>
      <w:lvlJc w:val="left"/>
      <w:pPr>
        <w:tabs>
          <w:tab w:val="num" w:pos="2098"/>
          <w:tab w:val="clear" w:pos="0"/>
        </w:tabs>
        <w:ind w:left="2098" w:hanging="234"/>
      </w:pPr>
      <w:rPr>
        <w:rFonts w:ascii="Calibri" w:cs="Calibri" w:hAnsi="Calibri" w:eastAsia="Calibri"/>
        <w:position w:val="0"/>
        <w:sz w:val="19"/>
        <w:szCs w:val="19"/>
      </w:rPr>
    </w:lvl>
    <w:lvl w:ilvl="3">
      <w:start w:val="1"/>
      <w:numFmt w:val="decimal"/>
      <w:suff w:val="tab"/>
      <w:lvlText w:val="%4."/>
      <w:lvlJc w:val="left"/>
      <w:pPr>
        <w:tabs>
          <w:tab w:val="num" w:pos="2805"/>
          <w:tab w:val="clear" w:pos="0"/>
        </w:tabs>
        <w:ind w:left="2805" w:hanging="285"/>
      </w:pPr>
      <w:rPr>
        <w:rFonts w:ascii="Calibri" w:cs="Calibri" w:hAnsi="Calibri" w:eastAsia="Calibri"/>
        <w:position w:val="0"/>
        <w:sz w:val="19"/>
        <w:szCs w:val="19"/>
      </w:rPr>
    </w:lvl>
    <w:lvl w:ilvl="4">
      <w:start w:val="1"/>
      <w:numFmt w:val="lowerLetter"/>
      <w:suff w:val="tab"/>
      <w:lvlText w:val="%5."/>
      <w:lvlJc w:val="left"/>
      <w:pPr>
        <w:tabs>
          <w:tab w:val="num" w:pos="3525"/>
          <w:tab w:val="clear" w:pos="0"/>
        </w:tabs>
        <w:ind w:left="3525" w:hanging="285"/>
      </w:pPr>
      <w:rPr>
        <w:rFonts w:ascii="Calibri" w:cs="Calibri" w:hAnsi="Calibri" w:eastAsia="Calibri"/>
        <w:position w:val="0"/>
        <w:sz w:val="19"/>
        <w:szCs w:val="19"/>
      </w:rPr>
    </w:lvl>
    <w:lvl w:ilvl="5">
      <w:start w:val="1"/>
      <w:numFmt w:val="lowerRoman"/>
      <w:suff w:val="tab"/>
      <w:lvlText w:val="%6."/>
      <w:lvlJc w:val="left"/>
      <w:pPr>
        <w:tabs>
          <w:tab w:val="num" w:pos="4258"/>
          <w:tab w:val="clear" w:pos="0"/>
        </w:tabs>
        <w:ind w:left="4258" w:hanging="234"/>
      </w:pPr>
      <w:rPr>
        <w:rFonts w:ascii="Calibri" w:cs="Calibri" w:hAnsi="Calibri" w:eastAsia="Calibri"/>
        <w:position w:val="0"/>
        <w:sz w:val="19"/>
        <w:szCs w:val="19"/>
      </w:rPr>
    </w:lvl>
    <w:lvl w:ilvl="6">
      <w:start w:val="1"/>
      <w:numFmt w:val="decimal"/>
      <w:suff w:val="tab"/>
      <w:lvlText w:val="%7."/>
      <w:lvlJc w:val="left"/>
      <w:pPr>
        <w:tabs>
          <w:tab w:val="num" w:pos="4965"/>
          <w:tab w:val="clear" w:pos="0"/>
        </w:tabs>
        <w:ind w:left="4965" w:hanging="285"/>
      </w:pPr>
      <w:rPr>
        <w:rFonts w:ascii="Calibri" w:cs="Calibri" w:hAnsi="Calibri" w:eastAsia="Calibri"/>
        <w:position w:val="0"/>
        <w:sz w:val="19"/>
        <w:szCs w:val="19"/>
      </w:rPr>
    </w:lvl>
    <w:lvl w:ilvl="7">
      <w:start w:val="1"/>
      <w:numFmt w:val="lowerLetter"/>
      <w:suff w:val="tab"/>
      <w:lvlText w:val="%8."/>
      <w:lvlJc w:val="left"/>
      <w:pPr>
        <w:tabs>
          <w:tab w:val="num" w:pos="5685"/>
          <w:tab w:val="clear" w:pos="0"/>
        </w:tabs>
        <w:ind w:left="5685" w:hanging="285"/>
      </w:pPr>
      <w:rPr>
        <w:rFonts w:ascii="Calibri" w:cs="Calibri" w:hAnsi="Calibri" w:eastAsia="Calibri"/>
        <w:position w:val="0"/>
        <w:sz w:val="19"/>
        <w:szCs w:val="19"/>
      </w:rPr>
    </w:lvl>
    <w:lvl w:ilvl="8">
      <w:start w:val="1"/>
      <w:numFmt w:val="lowerRoman"/>
      <w:suff w:val="tab"/>
      <w:lvlText w:val="%9."/>
      <w:lvlJc w:val="left"/>
      <w:pPr>
        <w:tabs>
          <w:tab w:val="num" w:pos="6418"/>
          <w:tab w:val="clear" w:pos="0"/>
        </w:tabs>
        <w:ind w:left="6418" w:hanging="234"/>
      </w:pPr>
      <w:rPr>
        <w:rFonts w:ascii="Calibri" w:cs="Calibri" w:hAnsi="Calibri" w:eastAsia="Calibri"/>
        <w:position w:val="0"/>
        <w:sz w:val="19"/>
        <w:szCs w:val="19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45"/>
          <w:tab w:val="clear" w:pos="0"/>
        </w:tabs>
        <w:ind w:left="64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65"/>
          <w:tab w:val="clear" w:pos="0"/>
        </w:tabs>
        <w:ind w:left="136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980"/>
          <w:tab w:val="clear" w:pos="0"/>
        </w:tabs>
        <w:ind w:left="1980" w:hanging="440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3">
      <w:start w:val="1"/>
      <w:numFmt w:val="decimal"/>
      <w:suff w:val="tab"/>
      <w:lvlText w:val="%4."/>
      <w:lvlJc w:val="left"/>
      <w:pPr>
        <w:tabs>
          <w:tab w:val="num" w:pos="2805"/>
          <w:tab w:val="clear" w:pos="0"/>
        </w:tabs>
        <w:ind w:left="280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25"/>
          <w:tab w:val="clear" w:pos="0"/>
        </w:tabs>
        <w:ind w:left="352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58"/>
          <w:tab w:val="clear" w:pos="0"/>
        </w:tabs>
        <w:ind w:left="4258" w:hanging="234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6">
      <w:start w:val="1"/>
      <w:numFmt w:val="decimal"/>
      <w:suff w:val="tab"/>
      <w:lvlText w:val="%7."/>
      <w:lvlJc w:val="left"/>
      <w:pPr>
        <w:tabs>
          <w:tab w:val="num" w:pos="4965"/>
          <w:tab w:val="clear" w:pos="0"/>
        </w:tabs>
        <w:ind w:left="496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85"/>
          <w:tab w:val="clear" w:pos="0"/>
        </w:tabs>
        <w:ind w:left="568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18"/>
          <w:tab w:val="clear" w:pos="0"/>
        </w:tabs>
        <w:ind w:left="6418" w:hanging="234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</w:abstractNum>
  <w:abstractNum w:abstractNumId="31">
    <w:multiLevelType w:val="multilevel"/>
    <w:styleLink w:val="List 8"/>
    <w:lvl w:ilvl="0">
      <w:start w:val="1"/>
      <w:numFmt w:val="decimal"/>
      <w:suff w:val="tab"/>
      <w:lvlText w:val="%1."/>
      <w:lvlJc w:val="left"/>
      <w:pPr>
        <w:tabs>
          <w:tab w:val="num" w:pos="645"/>
          <w:tab w:val="clear" w:pos="0"/>
        </w:tabs>
        <w:ind w:left="64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65"/>
          <w:tab w:val="clear" w:pos="0"/>
        </w:tabs>
        <w:ind w:left="136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980"/>
          <w:tab w:val="clear" w:pos="0"/>
        </w:tabs>
        <w:ind w:left="1980" w:hanging="440"/>
      </w:pPr>
      <w:rPr>
        <w:rFonts w:ascii="Trebuchet MS" w:cs="Trebuchet MS" w:hAnsi="Trebuchet MS" w:eastAsia="Trebuchet MS"/>
        <w:b w:val="1"/>
        <w:bCs w:val="1"/>
        <w:color w:val="ff0000"/>
        <w:position w:val="0"/>
        <w:sz w:val="19"/>
        <w:szCs w:val="19"/>
        <w:u w:color="ff0000"/>
      </w:rPr>
    </w:lvl>
    <w:lvl w:ilvl="3">
      <w:start w:val="1"/>
      <w:numFmt w:val="decimal"/>
      <w:suff w:val="tab"/>
      <w:lvlText w:val="%4."/>
      <w:lvlJc w:val="left"/>
      <w:pPr>
        <w:tabs>
          <w:tab w:val="num" w:pos="2805"/>
          <w:tab w:val="clear" w:pos="0"/>
        </w:tabs>
        <w:ind w:left="280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25"/>
          <w:tab w:val="clear" w:pos="0"/>
        </w:tabs>
        <w:ind w:left="352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58"/>
          <w:tab w:val="clear" w:pos="0"/>
        </w:tabs>
        <w:ind w:left="4258" w:hanging="234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6">
      <w:start w:val="1"/>
      <w:numFmt w:val="decimal"/>
      <w:suff w:val="tab"/>
      <w:lvlText w:val="%7."/>
      <w:lvlJc w:val="left"/>
      <w:pPr>
        <w:tabs>
          <w:tab w:val="num" w:pos="4965"/>
          <w:tab w:val="clear" w:pos="0"/>
        </w:tabs>
        <w:ind w:left="496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85"/>
          <w:tab w:val="clear" w:pos="0"/>
        </w:tabs>
        <w:ind w:left="5685" w:hanging="285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18"/>
          <w:tab w:val="clear" w:pos="0"/>
        </w:tabs>
        <w:ind w:left="6418" w:hanging="234"/>
      </w:pPr>
      <w:rPr>
        <w:rFonts w:ascii="Calibri" w:cs="Calibri" w:hAnsi="Calibri" w:eastAsia="Calibri"/>
        <w:b w:val="1"/>
        <w:bCs w:val="1"/>
        <w:color w:val="ff0000"/>
        <w:position w:val="0"/>
        <w:sz w:val="19"/>
        <w:szCs w:val="19"/>
        <w:u w:color="ff0000"/>
      </w:rPr>
    </w:lvl>
  </w:abstractNum>
  <w:abstractNum w:abstractNumId="32">
    <w:multiLevelType w:val="multilevel"/>
    <w:styleLink w:val="List 8"/>
    <w:lvl w:ilvl="0">
      <w:start w:val="1"/>
      <w:numFmt w:val="decimal"/>
      <w:suff w:val="tab"/>
      <w:lvlText w:val="%1."/>
      <w:lvlJc w:val="left"/>
      <w:pPr>
        <w:tabs>
          <w:tab w:val="num" w:pos="645"/>
          <w:tab w:val="clear" w:pos="0"/>
        </w:tabs>
        <w:ind w:left="64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1">
      <w:start w:val="1"/>
      <w:numFmt w:val="lowerLetter"/>
      <w:suff w:val="tab"/>
      <w:lvlText w:val="%2."/>
      <w:lvlJc w:val="left"/>
      <w:pPr>
        <w:tabs>
          <w:tab w:val="num" w:pos="1365"/>
          <w:tab w:val="clear" w:pos="0"/>
        </w:tabs>
        <w:ind w:left="136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2">
      <w:start w:val="1"/>
      <w:numFmt w:val="lowerRoman"/>
      <w:suff w:val="tab"/>
      <w:lvlText w:val="%3."/>
      <w:lvlJc w:val="left"/>
      <w:pPr>
        <w:tabs>
          <w:tab w:val="num" w:pos="1980"/>
          <w:tab w:val="clear" w:pos="0"/>
        </w:tabs>
        <w:ind w:left="1980" w:hanging="440"/>
      </w:pPr>
      <w:rPr>
        <w:rFonts w:ascii="Trebuchet MS" w:cs="Trebuchet MS" w:hAnsi="Trebuchet MS" w:eastAsia="Trebuchet MS"/>
        <w:color w:val="0000cc"/>
        <w:position w:val="0"/>
        <w:sz w:val="19"/>
        <w:szCs w:val="19"/>
        <w:u w:color="0000cc"/>
      </w:rPr>
    </w:lvl>
    <w:lvl w:ilvl="3">
      <w:start w:val="1"/>
      <w:numFmt w:val="decimal"/>
      <w:suff w:val="tab"/>
      <w:lvlText w:val="%4."/>
      <w:lvlJc w:val="left"/>
      <w:pPr>
        <w:tabs>
          <w:tab w:val="num" w:pos="2805"/>
          <w:tab w:val="clear" w:pos="0"/>
        </w:tabs>
        <w:ind w:left="280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4">
      <w:start w:val="1"/>
      <w:numFmt w:val="lowerLetter"/>
      <w:suff w:val="tab"/>
      <w:lvlText w:val="%5."/>
      <w:lvlJc w:val="left"/>
      <w:pPr>
        <w:tabs>
          <w:tab w:val="num" w:pos="3525"/>
          <w:tab w:val="clear" w:pos="0"/>
        </w:tabs>
        <w:ind w:left="352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5">
      <w:start w:val="1"/>
      <w:numFmt w:val="lowerRoman"/>
      <w:suff w:val="tab"/>
      <w:lvlText w:val="%6."/>
      <w:lvlJc w:val="left"/>
      <w:pPr>
        <w:tabs>
          <w:tab w:val="num" w:pos="4258"/>
          <w:tab w:val="clear" w:pos="0"/>
        </w:tabs>
        <w:ind w:left="4258" w:hanging="234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6">
      <w:start w:val="1"/>
      <w:numFmt w:val="decimal"/>
      <w:suff w:val="tab"/>
      <w:lvlText w:val="%7."/>
      <w:lvlJc w:val="left"/>
      <w:pPr>
        <w:tabs>
          <w:tab w:val="num" w:pos="4965"/>
          <w:tab w:val="clear" w:pos="0"/>
        </w:tabs>
        <w:ind w:left="496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7">
      <w:start w:val="1"/>
      <w:numFmt w:val="lowerLetter"/>
      <w:suff w:val="tab"/>
      <w:lvlText w:val="%8."/>
      <w:lvlJc w:val="left"/>
      <w:pPr>
        <w:tabs>
          <w:tab w:val="num" w:pos="5685"/>
          <w:tab w:val="clear" w:pos="0"/>
        </w:tabs>
        <w:ind w:left="5685" w:hanging="285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  <w:lvl w:ilvl="8">
      <w:start w:val="1"/>
      <w:numFmt w:val="lowerRoman"/>
      <w:suff w:val="tab"/>
      <w:lvlText w:val="%9."/>
      <w:lvlJc w:val="left"/>
      <w:pPr>
        <w:tabs>
          <w:tab w:val="num" w:pos="6418"/>
          <w:tab w:val="clear" w:pos="0"/>
        </w:tabs>
        <w:ind w:left="6418" w:hanging="234"/>
      </w:pPr>
      <w:rPr>
        <w:rFonts w:ascii="Calibri" w:cs="Calibri" w:hAnsi="Calibri" w:eastAsia="Calibri"/>
        <w:color w:val="0000cc"/>
        <w:position w:val="0"/>
        <w:sz w:val="19"/>
        <w:szCs w:val="19"/>
        <w:u w:color="0000cc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5"/>
      </w:numPr>
    </w:pPr>
  </w:style>
  <w:style w:type="numbering" w:styleId="Imported Style 2">
    <w:name w:val="Imported Style 2"/>
    <w:next w:val="Imported Style 2"/>
    <w:pPr>
      <w:numPr>
        <w:numId w:val="6"/>
      </w:numPr>
    </w:pPr>
  </w:style>
  <w:style w:type="numbering" w:styleId="List 2">
    <w:name w:val="List 2"/>
    <w:basedOn w:val="Imported Style 1.0"/>
    <w:next w:val="List 2"/>
    <w:pPr>
      <w:numPr>
        <w:numId w:val="8"/>
      </w:numPr>
    </w:pPr>
  </w:style>
  <w:style w:type="numbering" w:styleId="Imported Style 1.0">
    <w:name w:val="Imported Style 1.0"/>
    <w:next w:val="Imported Style 1.0"/>
    <w:pPr>
      <w:numPr>
        <w:numId w:val="9"/>
      </w:numPr>
    </w:pPr>
  </w:style>
  <w:style w:type="numbering" w:styleId="List 3">
    <w:name w:val="List 3"/>
    <w:basedOn w:val="Imported Style 3"/>
    <w:next w:val="List 3"/>
    <w:pPr>
      <w:numPr>
        <w:numId w:val="13"/>
      </w:numPr>
    </w:pPr>
  </w:style>
  <w:style w:type="numbering" w:styleId="Imported Style 3">
    <w:name w:val="Imported Style 3"/>
    <w:next w:val="Imported Style 3"/>
    <w:pPr>
      <w:numPr>
        <w:numId w:val="14"/>
      </w:numPr>
    </w:pPr>
  </w:style>
  <w:style w:type="numbering" w:styleId="List 4">
    <w:name w:val="List 4"/>
    <w:basedOn w:val="Imported Style 3.0"/>
    <w:next w:val="List 4"/>
    <w:pPr>
      <w:numPr>
        <w:numId w:val="16"/>
      </w:numPr>
    </w:pPr>
  </w:style>
  <w:style w:type="numbering" w:styleId="Imported Style 3.0">
    <w:name w:val="Imported Style 3.0"/>
    <w:next w:val="Imported Style 3.0"/>
    <w:pPr>
      <w:numPr>
        <w:numId w:val="17"/>
      </w:numPr>
    </w:pPr>
  </w:style>
  <w:style w:type="numbering" w:styleId="List 5">
    <w:name w:val="List 5"/>
    <w:basedOn w:val="Imported Style 4"/>
    <w:next w:val="List 5"/>
    <w:pPr>
      <w:numPr>
        <w:numId w:val="20"/>
      </w:numPr>
    </w:pPr>
  </w:style>
  <w:style w:type="numbering" w:styleId="Imported Style 4">
    <w:name w:val="Imported Style 4"/>
    <w:next w:val="Imported Style 4"/>
    <w:pPr>
      <w:numPr>
        <w:numId w:val="21"/>
      </w:numPr>
    </w:pPr>
  </w:style>
  <w:style w:type="numbering" w:styleId="List 6">
    <w:name w:val="List 6"/>
    <w:basedOn w:val="Imported Style 3.1"/>
    <w:next w:val="List 6"/>
    <w:pPr>
      <w:numPr>
        <w:numId w:val="24"/>
      </w:numPr>
    </w:pPr>
  </w:style>
  <w:style w:type="numbering" w:styleId="Imported Style 3.1">
    <w:name w:val="Imported Style 3.1"/>
    <w:next w:val="Imported Style 3.1"/>
    <w:pPr>
      <w:numPr>
        <w:numId w:val="25"/>
      </w:numPr>
    </w:pPr>
  </w:style>
  <w:style w:type="numbering" w:styleId="List 7">
    <w:name w:val="List 7"/>
    <w:basedOn w:val="Imported Style 5"/>
    <w:next w:val="List 7"/>
    <w:pPr>
      <w:numPr>
        <w:numId w:val="28"/>
      </w:numPr>
    </w:pPr>
  </w:style>
  <w:style w:type="numbering" w:styleId="Imported Style 5">
    <w:name w:val="Imported Style 5"/>
    <w:next w:val="Imported Style 5"/>
    <w:pPr>
      <w:numPr>
        <w:numId w:val="29"/>
      </w:numPr>
    </w:pPr>
  </w:style>
  <w:style w:type="numbering" w:styleId="List 8">
    <w:name w:val="List 8"/>
    <w:basedOn w:val="Imported Style 5"/>
    <w:next w:val="List 8"/>
    <w:pPr>
      <w:numPr>
        <w:numId w:val="3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i w:val="1"/>
      <w:iCs w:val="1"/>
      <w:color w:val="1155cc"/>
      <w:sz w:val="19"/>
      <w:szCs w:val="19"/>
      <w:u w:color="1155cc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19"/>
      <w:szCs w:val="1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prodps.ualberta.ca/finprd/signon.html" TargetMode="External"/><Relationship Id="rId5" Type="http://schemas.openxmlformats.org/officeDocument/2006/relationships/hyperlink" Target="https://policiesonline.ualberta.ca/PoliciesProcedures/Procedures/Travel-Expense-Procedure-Appendix-A-Schedule-of-Allowable-Expenses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